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24" w:rsidRPr="00624424" w:rsidRDefault="00624424" w:rsidP="00624424">
      <w:pPr>
        <w:spacing w:after="0" w:line="240" w:lineRule="auto"/>
        <w:jc w:val="right"/>
        <w:rPr>
          <w:sz w:val="20"/>
          <w:szCs w:val="20"/>
        </w:rPr>
      </w:pPr>
      <w:bookmarkStart w:id="0" w:name="_Toc437640218"/>
      <w:bookmarkStart w:id="1" w:name="_Toc459224291"/>
      <w:r w:rsidRPr="00624424">
        <w:rPr>
          <w:sz w:val="20"/>
          <w:szCs w:val="20"/>
        </w:rPr>
        <w:t>Załącznik nr 2 do ogłoszenia nr 2/2016</w:t>
      </w:r>
    </w:p>
    <w:p w:rsidR="00624424" w:rsidRPr="00624424" w:rsidRDefault="00624424" w:rsidP="00624424">
      <w:pPr>
        <w:pStyle w:val="Nagwek2"/>
        <w:spacing w:before="0"/>
        <w:rPr>
          <w:rFonts w:eastAsia="Times New Roman"/>
          <w:b w:val="0"/>
          <w:color w:val="auto"/>
          <w:sz w:val="20"/>
          <w:szCs w:val="20"/>
          <w:lang w:eastAsia="pl-PL"/>
        </w:rPr>
      </w:pPr>
      <w:r w:rsidRPr="00624424">
        <w:rPr>
          <w:rFonts w:eastAsia="Times New Roman"/>
          <w:b w:val="0"/>
          <w:sz w:val="20"/>
          <w:szCs w:val="20"/>
          <w:lang w:eastAsia="pl-PL"/>
        </w:rPr>
        <w:t xml:space="preserve">                                            </w:t>
      </w:r>
      <w:r w:rsidRPr="00624424">
        <w:rPr>
          <w:rFonts w:eastAsia="Times New Roman"/>
          <w:b w:val="0"/>
          <w:color w:val="auto"/>
          <w:sz w:val="20"/>
          <w:szCs w:val="20"/>
          <w:lang w:eastAsia="pl-PL"/>
        </w:rPr>
        <w:t>Lokalne kryteria wyboru operacji</w:t>
      </w:r>
      <w:bookmarkEnd w:id="0"/>
      <w:bookmarkEnd w:id="1"/>
      <w:r w:rsidRPr="00624424">
        <w:rPr>
          <w:rFonts w:eastAsia="Times New Roman"/>
          <w:b w:val="0"/>
          <w:color w:val="auto"/>
          <w:sz w:val="20"/>
          <w:szCs w:val="20"/>
          <w:lang w:eastAsia="pl-PL"/>
        </w:rPr>
        <w:t xml:space="preserve"> </w:t>
      </w:r>
    </w:p>
    <w:p w:rsidR="00624424" w:rsidRDefault="00624424" w:rsidP="00624424">
      <w:pPr>
        <w:spacing w:before="120" w:after="120"/>
        <w:jc w:val="center"/>
        <w:rPr>
          <w:rFonts w:ascii="Times New Roman" w:hAnsi="Times New Roman" w:cs="Times New Roman"/>
          <w:lang w:eastAsia="pl-PL"/>
        </w:rPr>
      </w:pPr>
      <w:r>
        <w:rPr>
          <w:rFonts w:ascii="Times New Roman" w:hAnsi="Times New Roman" w:cs="Times New Roman"/>
          <w:lang w:eastAsia="pl-PL"/>
        </w:rPr>
        <w:t xml:space="preserve">KRYTERIA </w:t>
      </w:r>
      <w:r w:rsidRPr="003818D6">
        <w:rPr>
          <w:rFonts w:ascii="Times New Roman" w:hAnsi="Times New Roman" w:cs="Times New Roman"/>
          <w:lang w:eastAsia="pl-PL"/>
        </w:rPr>
        <w:t>W ODNIESIENIU DO NABORÓW OGŁASZANYCH W ZAKRESIE</w:t>
      </w:r>
      <w:r>
        <w:rPr>
          <w:rFonts w:ascii="Times New Roman" w:hAnsi="Times New Roman" w:cs="Times New Roman"/>
          <w:lang w:eastAsia="pl-PL"/>
        </w:rPr>
        <w:t xml:space="preserve"> CELU SZCZEGÓŁOWEGO NR 2</w:t>
      </w:r>
      <w:r w:rsidRPr="003818D6">
        <w:rPr>
          <w:rFonts w:ascii="Times New Roman" w:hAnsi="Times New Roman" w:cs="Times New Roman"/>
          <w:lang w:eastAsia="pl-PL"/>
        </w:rPr>
        <w:t>.1</w:t>
      </w:r>
      <w:r>
        <w:rPr>
          <w:rFonts w:ascii="Times New Roman" w:hAnsi="Times New Roman" w:cs="Times New Roman"/>
          <w:lang w:eastAsia="pl-PL"/>
        </w:rPr>
        <w:t xml:space="preserve">. </w:t>
      </w:r>
      <w:r w:rsidRPr="008C120B">
        <w:rPr>
          <w:rFonts w:ascii="Times New Roman" w:hAnsi="Times New Roman" w:cs="Times New Roman"/>
          <w:lang w:eastAsia="pl-PL"/>
        </w:rPr>
        <w:t>ROZWÓJ INFRASTRUKTURY ORAZ PROMOCJA OBSZARU LSR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1"/>
        <w:gridCol w:w="5190"/>
        <w:gridCol w:w="3969"/>
        <w:gridCol w:w="2628"/>
        <w:gridCol w:w="20"/>
        <w:gridCol w:w="45"/>
      </w:tblGrid>
      <w:tr w:rsidR="00624424" w:rsidRPr="00624424" w:rsidTr="00E15651">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Kryterium:</w:t>
            </w:r>
          </w:p>
        </w:tc>
        <w:tc>
          <w:tcPr>
            <w:tcW w:w="5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Opis:</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Punktacja:</w:t>
            </w:r>
          </w:p>
        </w:tc>
        <w:tc>
          <w:tcPr>
            <w:tcW w:w="2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Źródło weryfikacji:</w:t>
            </w: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highlight w:val="yellow"/>
              </w:rPr>
            </w:pPr>
            <w:r w:rsidRPr="00624424">
              <w:rPr>
                <w:rFonts w:ascii="Times New Roman" w:hAnsi="Times New Roman" w:cs="Times New Roman"/>
                <w:b/>
                <w:bCs/>
                <w:sz w:val="24"/>
                <w:szCs w:val="24"/>
              </w:rPr>
              <w:t>I. ZASIĘG ODDZIAŁYWANIA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highlight w:val="yellow"/>
              </w:rPr>
            </w:pPr>
            <w:r w:rsidRPr="00624424">
              <w:rPr>
                <w:rFonts w:ascii="Times New Roman" w:hAnsi="Times New Roman" w:cs="Times New Roman"/>
                <w:sz w:val="24"/>
                <w:szCs w:val="24"/>
              </w:rPr>
              <w:t>Preferuje się projekty realizowane w większej liczbie miejscowości. Kryterium preferuje także współpracę miedzy mieszkańcami miejscowości.</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2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realizowany ma zasięg oddziaływania więcej niż jedna miejscowość (ponad </w:t>
            </w:r>
            <w:proofErr w:type="spellStart"/>
            <w:r w:rsidRPr="00624424">
              <w:rPr>
                <w:rFonts w:ascii="Times New Roman" w:hAnsi="Times New Roman" w:cs="Times New Roman"/>
                <w:sz w:val="24"/>
                <w:szCs w:val="24"/>
              </w:rPr>
              <w:t>lokalny</w:t>
            </w:r>
            <w:proofErr w:type="spellEnd"/>
            <w:r w:rsidRPr="00624424">
              <w:rPr>
                <w:rFonts w:ascii="Times New Roman" w:hAnsi="Times New Roman" w:cs="Times New Roman"/>
                <w:sz w:val="24"/>
                <w:szCs w:val="24"/>
              </w:rPr>
              <w:t>)</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1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-projekt realizowany w jednej miejscowości (</w:t>
            </w:r>
            <w:proofErr w:type="spellStart"/>
            <w:r w:rsidRPr="00624424">
              <w:rPr>
                <w:rFonts w:ascii="Times New Roman" w:hAnsi="Times New Roman" w:cs="Times New Roman"/>
                <w:sz w:val="24"/>
                <w:szCs w:val="24"/>
              </w:rPr>
              <w:t>lokalny</w:t>
            </w:r>
            <w:proofErr w:type="spellEnd"/>
            <w:r w:rsidRPr="00624424">
              <w:rPr>
                <w:rFonts w:ascii="Times New Roman" w:hAnsi="Times New Roman" w:cs="Times New Roman"/>
                <w:sz w:val="24"/>
                <w:szCs w:val="24"/>
              </w:rPr>
              <w:t>)</w:t>
            </w:r>
          </w:p>
          <w:p w:rsidR="00624424" w:rsidRPr="00624424" w:rsidRDefault="00624424" w:rsidP="00E15651">
            <w:pPr>
              <w:spacing w:after="0" w:line="240" w:lineRule="auto"/>
              <w:rPr>
                <w:rFonts w:ascii="Times New Roman" w:hAnsi="Times New Roman" w:cs="Times New Roman"/>
                <w:i/>
                <w:sz w:val="24"/>
                <w:szCs w:val="24"/>
                <w:highlight w:val="yellow"/>
              </w:rPr>
            </w:pPr>
            <w:r w:rsidRPr="00624424">
              <w:rPr>
                <w:rFonts w:ascii="Times New Roman" w:hAnsi="Times New Roman" w:cs="Times New Roman"/>
                <w:i/>
                <w:sz w:val="24"/>
                <w:szCs w:val="24"/>
              </w:rPr>
              <w:t xml:space="preserve">Maksymalna liczba punktów w ramach tego kryterium 2 </w:t>
            </w:r>
            <w:proofErr w:type="spellStart"/>
            <w:r w:rsidRPr="00624424">
              <w:rPr>
                <w:rFonts w:ascii="Times New Roman" w:hAnsi="Times New Roman" w:cs="Times New Roman"/>
                <w:i/>
                <w:sz w:val="24"/>
                <w:szCs w:val="24"/>
              </w:rPr>
              <w:t>pkt</w:t>
            </w:r>
            <w:proofErr w:type="spellEnd"/>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rPr>
          <w:gridAfter w:val="1"/>
          <w:wAfter w:w="45" w:type="dxa"/>
        </w:trPr>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 RODZAJ PLANOWANEJ INWESTYCJI W RAMACH OPERACJI </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 ramach LSR można otrzymać wsparci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realizację projektów polegających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budowie lub przebudowie ogólnodostępnej i niekomercyjnej infrastruktury turystycznej lub rekreacyjnej, lub kulturalnej. Preferuje się projekty polegające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budowie ogólnodostępnej i  niekomercyjnej infrastruktury turystycznej lub rekreacyjnej lub kulturowej. </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polega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3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polega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przebudowie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nie dotyczy inwestycji infrastrukturalnej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i/>
                <w:sz w:val="24"/>
                <w:szCs w:val="24"/>
              </w:rPr>
              <w:t xml:space="preserve">Maksymalna liczba punktów w ramach tego kryterium 5 </w:t>
            </w:r>
            <w:proofErr w:type="spellStart"/>
            <w:r w:rsidRPr="00624424">
              <w:rPr>
                <w:rFonts w:ascii="Times New Roman" w:hAnsi="Times New Roman" w:cs="Times New Roman"/>
                <w:i/>
                <w:sz w:val="24"/>
                <w:szCs w:val="24"/>
              </w:rPr>
              <w:t>pkt</w:t>
            </w:r>
            <w:proofErr w:type="spellEnd"/>
          </w:p>
        </w:tc>
        <w:tc>
          <w:tcPr>
            <w:tcW w:w="2648" w:type="dxa"/>
            <w:gridSpan w:val="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p w:rsidR="00624424" w:rsidRPr="00624424" w:rsidRDefault="00624424" w:rsidP="00E15651">
            <w:pPr>
              <w:spacing w:after="0" w:line="240" w:lineRule="auto"/>
              <w:rPr>
                <w:rFonts w:ascii="Times New Roman" w:hAnsi="Times New Roman" w:cs="Times New Roman"/>
                <w:sz w:val="24"/>
                <w:szCs w:val="24"/>
              </w:rPr>
            </w:pPr>
          </w:p>
        </w:tc>
      </w:tr>
      <w:tr w:rsidR="00624424" w:rsidRPr="00624424" w:rsidTr="00E15651">
        <w:tblPrEx>
          <w:tblBorders>
            <w:insideH w:val="single" w:sz="8" w:space="0" w:color="auto"/>
            <w:insideV w:val="single" w:sz="8" w:space="0" w:color="auto"/>
          </w:tblBorders>
        </w:tblPrEx>
        <w:trPr>
          <w:gridAfter w:val="2"/>
          <w:wAfter w:w="65" w:type="dxa"/>
        </w:trPr>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III. MIEJSCE REALIZACJI OPERACJI </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realizowane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terenie miejscowości przez mniej niż 5 tys. mieszkańców. Dotyczy miejscowości, w tym również miejscowości będących jednostkami pomocniczymi gmin (sołectwa, dzielnice lub osiedla ), opisanych liczbą mieszkańców zamieszkałych wg stanu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dzień 31 grudnia 2013 r., tj. zameldowanych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stałe lub czasowo.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miejsce realizacji operacji w miejscowości zamieszkałej przez nie więcej niż 5 tys. mieszkańców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miejsce realizacji operacji w miejscowości zamieszkałej przez 5 tys. i więcej mieszkańców</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w:t>
            </w:r>
            <w:proofErr w:type="spellStart"/>
            <w:r w:rsidRPr="00624424">
              <w:rPr>
                <w:rFonts w:ascii="Times New Roman" w:hAnsi="Times New Roman" w:cs="Times New Roman"/>
                <w:i/>
                <w:sz w:val="24"/>
                <w:szCs w:val="24"/>
              </w:rPr>
              <w:t>pkt</w:t>
            </w:r>
            <w:proofErr w:type="spellEnd"/>
          </w:p>
        </w:tc>
        <w:tc>
          <w:tcPr>
            <w:tcW w:w="2628"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Zaświadczenie od </w:t>
            </w:r>
            <w:proofErr w:type="spellStart"/>
            <w:r w:rsidRPr="00624424">
              <w:rPr>
                <w:rFonts w:ascii="Times New Roman" w:hAnsi="Times New Roman" w:cs="Times New Roman"/>
                <w:sz w:val="24"/>
                <w:szCs w:val="24"/>
              </w:rPr>
              <w:t>gminy</w:t>
            </w:r>
            <w:proofErr w:type="spellEnd"/>
            <w:r w:rsidRPr="00624424">
              <w:rPr>
                <w:rFonts w:ascii="Times New Roman" w:hAnsi="Times New Roman" w:cs="Times New Roman"/>
                <w:sz w:val="24"/>
                <w:szCs w:val="24"/>
              </w:rPr>
              <w:t xml:space="preserve"> potwierdzające liczbę mieszkańców miejscowości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terenie której będzie realizowana operacja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IV. WPŁYW OPERACJI NA POPRAWĘ </w:t>
            </w:r>
            <w:r w:rsidRPr="00624424">
              <w:rPr>
                <w:rFonts w:ascii="Times New Roman" w:hAnsi="Times New Roman" w:cs="Times New Roman"/>
                <w:b/>
                <w:bCs/>
                <w:sz w:val="24"/>
                <w:szCs w:val="24"/>
              </w:rPr>
              <w:lastRenderedPageBreak/>
              <w:t xml:space="preserve">ATRAKCYJNOŚCI TURYSTYCZNEJ OBSZARU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Preferuje się operacje mające pozytywny wpływ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poprawę atrakcyjności turystycznej obszaru. Przez operacje mające pozytywny wpływ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poprawę </w:t>
            </w:r>
            <w:r w:rsidRPr="00624424">
              <w:rPr>
                <w:rFonts w:ascii="Times New Roman" w:hAnsi="Times New Roman" w:cs="Times New Roman"/>
                <w:sz w:val="24"/>
                <w:szCs w:val="24"/>
              </w:rPr>
              <w:lastRenderedPageBreak/>
              <w:t xml:space="preserve">atrakcyjności turystycznej obszaru rozumie się operacje polegające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wizerunek turystyczny miejscowości; rozwinięciu działalności </w:t>
            </w:r>
            <w:proofErr w:type="spellStart"/>
            <w:r w:rsidRPr="00624424">
              <w:rPr>
                <w:rFonts w:ascii="Times New Roman" w:hAnsi="Times New Roman" w:cs="Times New Roman"/>
                <w:sz w:val="24"/>
                <w:szCs w:val="24"/>
              </w:rPr>
              <w:t>okołoturystycznej</w:t>
            </w:r>
            <w:proofErr w:type="spellEnd"/>
            <w:r w:rsidRPr="00624424">
              <w:rPr>
                <w:rFonts w:ascii="Times New Roman" w:hAnsi="Times New Roman" w:cs="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3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operacja pozytywnie wpływa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poprawę atrakcyjności turystycznej obszaru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operacja ma neutralny wpływ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poprawę atrakcyjności turystycznej obszaru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3  </w:t>
            </w:r>
            <w:proofErr w:type="spellStart"/>
            <w:r w:rsidRPr="00624424">
              <w:rPr>
                <w:rFonts w:ascii="Times New Roman" w:hAnsi="Times New Roman" w:cs="Times New Roman"/>
                <w:i/>
                <w:sz w:val="24"/>
                <w:szCs w:val="24"/>
              </w:rPr>
              <w:t>pkt</w:t>
            </w:r>
            <w:proofErr w:type="spellEnd"/>
            <w:r w:rsidRPr="00624424">
              <w:rPr>
                <w:rFonts w:ascii="Times New Roman" w:hAnsi="Times New Roman" w:cs="Times New Roman"/>
                <w:i/>
                <w:sz w:val="24"/>
                <w:szCs w:val="24"/>
              </w:rPr>
              <w:t xml:space="preserve">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nil"/>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lastRenderedPageBreak/>
              <w:t xml:space="preserve">V. ODDZIAŁYWANIE OPERACJI NA GRUPĘ DEFAWORYZOWANĄ ZIDENTYFIKOWANĄ W LSR </w:t>
            </w:r>
          </w:p>
        </w:tc>
        <w:tc>
          <w:tcPr>
            <w:tcW w:w="5190"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wnioski oddziałujące pozytywnie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Grupy </w:t>
            </w:r>
            <w:proofErr w:type="spellStart"/>
            <w:r w:rsidRPr="00624424">
              <w:rPr>
                <w:rFonts w:ascii="Times New Roman" w:hAnsi="Times New Roman" w:cs="Times New Roman"/>
                <w:sz w:val="24"/>
                <w:szCs w:val="24"/>
              </w:rPr>
              <w:t>defaworyzowane</w:t>
            </w:r>
            <w:proofErr w:type="spellEnd"/>
            <w:r w:rsidRPr="00624424">
              <w:rPr>
                <w:rFonts w:ascii="Times New Roman" w:hAnsi="Times New Roman" w:cs="Times New Roman"/>
                <w:sz w:val="24"/>
                <w:szCs w:val="24"/>
              </w:rPr>
              <w:t xml:space="preserve">, to grupy będące w trudnej sytuacji/położeniu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rynku pracy, czy też „grupy problemowe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rynku pracy". Są to grupy osób związanych z tzw. „wtórnym” (drugorzędnym, pobocznym) rynkiem pracy, gdzie fluktuacja zatrudnienia jest bardzo wysoka, warunki pracy (wynagrodzenie, podnoszenie kwalifikacji itd.) zdecydowanie gorsze, a okresy bezrobocia częstsze (wielokrotne bezrobocie) i/lub dłużej trwające (długotrwałe bezrobocie). Identyfikacja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obszarze LSR znajduje się w </w:t>
            </w:r>
            <w:r w:rsidRPr="00624424">
              <w:rPr>
                <w:rFonts w:ascii="Times New Roman" w:hAnsi="Times New Roman" w:cs="Times New Roman"/>
                <w:i/>
                <w:sz w:val="24"/>
                <w:szCs w:val="24"/>
              </w:rPr>
              <w:t>Rozdziale I. LSR Charakterystyka LGD.</w:t>
            </w:r>
            <w:r w:rsidRPr="00624424">
              <w:rPr>
                <w:rFonts w:ascii="Times New Roman" w:hAnsi="Times New Roman" w:cs="Times New Roman"/>
                <w:sz w:val="24"/>
                <w:szCs w:val="24"/>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6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pozytywne oddziaływanie operacji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dwie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3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pozytywne oddziaływanie operacji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jedną ze zidentyfikowanych grup </w:t>
            </w:r>
            <w:proofErr w:type="spellStart"/>
            <w:r w:rsidRPr="00624424">
              <w:rPr>
                <w:rFonts w:ascii="Times New Roman" w:hAnsi="Times New Roman" w:cs="Times New Roman"/>
                <w:sz w:val="24"/>
                <w:szCs w:val="24"/>
              </w:rPr>
              <w:t>defaworyzowanych</w:t>
            </w:r>
            <w:proofErr w:type="spellEnd"/>
            <w:r w:rsidRPr="00624424">
              <w:rPr>
                <w:rFonts w:ascii="Times New Roman" w:hAnsi="Times New Roman" w:cs="Times New Roman"/>
                <w:sz w:val="24"/>
                <w:szCs w:val="24"/>
              </w:rPr>
              <w:t xml:space="preserv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obszarze LSR</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brak oddziaływania operacji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grupę </w:t>
            </w:r>
            <w:proofErr w:type="spellStart"/>
            <w:r w:rsidRPr="00624424">
              <w:rPr>
                <w:rFonts w:ascii="Times New Roman" w:hAnsi="Times New Roman" w:cs="Times New Roman"/>
                <w:sz w:val="24"/>
                <w:szCs w:val="24"/>
              </w:rPr>
              <w:t>defaworyzowaną</w:t>
            </w:r>
            <w:proofErr w:type="spellEnd"/>
            <w:r w:rsidRPr="00624424">
              <w:rPr>
                <w:rFonts w:ascii="Times New Roman" w:hAnsi="Times New Roman" w:cs="Times New Roman"/>
                <w:sz w:val="24"/>
                <w:szCs w:val="24"/>
              </w:rPr>
              <w:t xml:space="preserv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obszarze LSR </w:t>
            </w:r>
          </w:p>
          <w:p w:rsidR="00624424" w:rsidRPr="00624424" w:rsidRDefault="00624424" w:rsidP="00E15651">
            <w:pPr>
              <w:spacing w:after="0" w:line="240" w:lineRule="auto"/>
              <w:ind w:right="34"/>
              <w:rPr>
                <w:rFonts w:ascii="Times New Roman" w:hAnsi="Times New Roman" w:cs="Times New Roman"/>
                <w:sz w:val="24"/>
                <w:szCs w:val="24"/>
              </w:rPr>
            </w:pPr>
            <w:r w:rsidRPr="00624424">
              <w:rPr>
                <w:rFonts w:ascii="Times New Roman" w:hAnsi="Times New Roman" w:cs="Times New Roman"/>
                <w:i/>
                <w:sz w:val="24"/>
                <w:szCs w:val="24"/>
              </w:rPr>
              <w:t xml:space="preserve">Maksymalna liczba punktów w ramach tego kryterium 6  </w:t>
            </w:r>
            <w:proofErr w:type="spellStart"/>
            <w:r w:rsidRPr="00624424">
              <w:rPr>
                <w:rFonts w:ascii="Times New Roman" w:hAnsi="Times New Roman" w:cs="Times New Roman"/>
                <w:i/>
                <w:sz w:val="24"/>
                <w:szCs w:val="24"/>
              </w:rPr>
              <w:t>pkt</w:t>
            </w:r>
            <w:proofErr w:type="spellEnd"/>
            <w:r w:rsidRPr="00624424">
              <w:rPr>
                <w:rFonts w:ascii="Times New Roman" w:hAnsi="Times New Roman" w:cs="Times New Roman"/>
                <w:i/>
                <w:sz w:val="24"/>
                <w:szCs w:val="24"/>
              </w:rPr>
              <w:t>                                     </w:t>
            </w:r>
          </w:p>
        </w:tc>
        <w:tc>
          <w:tcPr>
            <w:tcW w:w="264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 xml:space="preserve">VI. KOMPLEMENTARNOŚĆ PROJEKTU </w:t>
            </w:r>
            <w:r w:rsidRPr="00624424">
              <w:rPr>
                <w:rFonts w:ascii="Times New Roman" w:hAnsi="Times New Roman" w:cs="Times New Roman"/>
                <w:sz w:val="24"/>
                <w:szCs w:val="24"/>
              </w:rPr>
              <w:t xml:space="preserve"> </w:t>
            </w:r>
            <w:r w:rsidRPr="00624424">
              <w:rPr>
                <w:rFonts w:ascii="Times New Roman" w:hAnsi="Times New Roman" w:cs="Times New Roman"/>
                <w:b/>
                <w:bCs/>
                <w:sz w:val="24"/>
                <w:szCs w:val="24"/>
              </w:rPr>
              <w:t xml:space="preserve">Z INNYMI PROJEKTAMI </w:t>
            </w: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operacje komplementarne i zintegrowane z innymi programami pomocowymi bazujących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wcześniejszych projektach unijnych. W ramach LSR można wskazać komplementarność międzyprogramową, terytorialną bądź sektorową projektów LSR z innymi projektami zrealizowanymi w okresie 2007-2013 i realizowanymi ze środków ze środków </w:t>
            </w:r>
            <w:r w:rsidRPr="00624424">
              <w:rPr>
                <w:rFonts w:ascii="Times New Roman" w:hAnsi="Times New Roman" w:cs="Times New Roman"/>
                <w:sz w:val="24"/>
                <w:szCs w:val="24"/>
              </w:rPr>
              <w:lastRenderedPageBreak/>
              <w:t xml:space="preserve">europejskich (np.  PROW 2014-2020, RPO WM 2014-2020) lub innych (np. FIO, Programy </w:t>
            </w:r>
            <w:proofErr w:type="spellStart"/>
            <w:r w:rsidRPr="00624424">
              <w:rPr>
                <w:rFonts w:ascii="Times New Roman" w:hAnsi="Times New Roman" w:cs="Times New Roman"/>
                <w:sz w:val="24"/>
                <w:szCs w:val="24"/>
              </w:rPr>
              <w:t>MKiDN</w:t>
            </w:r>
            <w:proofErr w:type="spellEnd"/>
            <w:r w:rsidRPr="00624424">
              <w:rPr>
                <w:rFonts w:ascii="Times New Roman" w:hAnsi="Times New Roman" w:cs="Times New Roman"/>
                <w:sz w:val="24"/>
                <w:szCs w:val="24"/>
              </w:rPr>
              <w:t xml:space="preserve">), które zostały zrealizowane lub są w trakcie realizacji.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Weryfikacji podlegać będzie powiązanie projektu z innymi przedsięwzięciami, zarówno tymi zrealizowanymi, jak też z tymi, które są w trakcie realizacji, lub które dopiero zostały zaakceptowane do realizacji (bez względu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źródło finansowania czy też podmiot realizujący), w szczególności w następującym zakresie: czy przy realizacji projektu będą wykorzystywane efekty realizacji innego projektu, czy nastąpi wzmocnienie trwałości efektów jednego przedsięwzięcia realizacją innego, czy projekty są adresowane do tej samej grupy docelowej, tego samego terytorium, czy rozwiązują ten sam problem; czy realizacja jednego projektu jest uzależniona od przeprowadzenia innego przedsięwzięcia; czy projekt jest elementem szerszej strategii realizowanej przez szereg projektów komplementarnych; czy projekt stanowi ostatni etap szerszego przedsięwzięcia lub kontynuację wcześniej realizowanych przedsięwzięć.</w:t>
            </w:r>
            <w:r w:rsidRPr="00624424">
              <w:rPr>
                <w:sz w:val="24"/>
                <w:szCs w:val="24"/>
              </w:rPr>
              <w:t xml:space="preserve"> </w:t>
            </w:r>
            <w:r w:rsidRPr="00624424">
              <w:rPr>
                <w:rFonts w:ascii="Times New Roman" w:hAnsi="Times New Roman" w:cs="Times New Roman"/>
                <w:sz w:val="24"/>
                <w:szCs w:val="24"/>
              </w:rPr>
              <w:t>Powyższe wynika m.in. z Rozporządzenia (WE) 1303/2013.</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5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wnioskodawca wykazał komplementarność z innymi projektami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wnioskodawca nie wykazał komplementarności z innymi projektami</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w:t>
            </w:r>
            <w:proofErr w:type="spellStart"/>
            <w:r w:rsidRPr="00624424">
              <w:rPr>
                <w:rFonts w:ascii="Times New Roman" w:hAnsi="Times New Roman" w:cs="Times New Roman"/>
                <w:i/>
                <w:sz w:val="24"/>
                <w:szCs w:val="24"/>
              </w:rPr>
              <w:t>pkt</w:t>
            </w:r>
            <w:proofErr w:type="spellEnd"/>
            <w:r w:rsidRPr="00624424">
              <w:rPr>
                <w:rFonts w:ascii="Times New Roman" w:hAnsi="Times New Roman" w:cs="Times New Roman"/>
                <w:i/>
                <w:sz w:val="24"/>
                <w:szCs w:val="24"/>
              </w:rPr>
              <w:t xml:space="preserve">                                     </w:t>
            </w:r>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 dodatkowe dokumenty wnioskodawcy potwierdzające komplementarność projektu  </w:t>
            </w:r>
          </w:p>
        </w:tc>
      </w:tr>
      <w:tr w:rsidR="00624424" w:rsidRPr="00624424" w:rsidTr="00E15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 w:type="dxa"/>
        </w:trPr>
        <w:tc>
          <w:tcPr>
            <w:tcW w:w="2431"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lastRenderedPageBreak/>
              <w:t xml:space="preserve">VII. PROJEKT REWITALIZACYJNY </w:t>
            </w:r>
          </w:p>
          <w:p w:rsidR="00624424" w:rsidRPr="00624424" w:rsidRDefault="00624424" w:rsidP="00E15651">
            <w:pPr>
              <w:spacing w:after="0" w:line="240" w:lineRule="auto"/>
              <w:rPr>
                <w:rFonts w:ascii="Times New Roman" w:hAnsi="Times New Roman" w:cs="Times New Roman"/>
                <w:b/>
                <w:bCs/>
                <w:sz w:val="24"/>
                <w:szCs w:val="24"/>
              </w:rPr>
            </w:pPr>
          </w:p>
        </w:tc>
        <w:tc>
          <w:tcPr>
            <w:tcW w:w="5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projekty wynikające z programów rewitalizacji lub ich projektów przygotowanych zgodnie z </w:t>
            </w:r>
            <w:r w:rsidRPr="00624424">
              <w:rPr>
                <w:rFonts w:ascii="Times New Roman" w:hAnsi="Times New Roman" w:cs="Times New Roman"/>
                <w:i/>
                <w:sz w:val="24"/>
                <w:szCs w:val="24"/>
              </w:rPr>
              <w:t xml:space="preserve">Wytycznymi w zakresie rewitalizacji w programach operacyjnych </w:t>
            </w:r>
            <w:proofErr w:type="spellStart"/>
            <w:r w:rsidRPr="00624424">
              <w:rPr>
                <w:rFonts w:ascii="Times New Roman" w:hAnsi="Times New Roman" w:cs="Times New Roman"/>
                <w:i/>
                <w:sz w:val="24"/>
                <w:szCs w:val="24"/>
              </w:rPr>
              <w:t>na</w:t>
            </w:r>
            <w:proofErr w:type="spellEnd"/>
            <w:r w:rsidRPr="00624424">
              <w:rPr>
                <w:rFonts w:ascii="Times New Roman" w:hAnsi="Times New Roman" w:cs="Times New Roman"/>
                <w:i/>
                <w:sz w:val="24"/>
                <w:szCs w:val="24"/>
              </w:rPr>
              <w:t xml:space="preserve"> lata 2014-2020.</w:t>
            </w:r>
            <w:r w:rsidRPr="00624424">
              <w:rPr>
                <w:rFonts w:ascii="Times New Roman" w:hAnsi="Times New Roman" w:cs="Times New Roman"/>
                <w:sz w:val="24"/>
                <w:szCs w:val="24"/>
              </w:rPr>
              <w:t xml:space="preserve"> Wynikania ze programu rewitalizacji rozumiane będzie jako zaplanowanie projektu w programie rewitalizacji i ukierunkowanie go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osiągnięcie </w:t>
            </w:r>
            <w:r w:rsidRPr="00624424">
              <w:rPr>
                <w:rFonts w:ascii="Times New Roman" w:hAnsi="Times New Roman" w:cs="Times New Roman"/>
                <w:sz w:val="24"/>
                <w:szCs w:val="24"/>
              </w:rPr>
              <w:lastRenderedPageBreak/>
              <w:t>jego celów rewitalizacji albo logiczne powiązanie z treścią i celami programu rewitalizacji.</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lastRenderedPageBreak/>
              <w:t xml:space="preserve">5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wynika z programu rewitalizacji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nie wynika z programu rewitalizacji </w:t>
            </w:r>
            <w:r w:rsidRPr="00624424">
              <w:rPr>
                <w:rFonts w:ascii="Times New Roman" w:hAnsi="Times New Roman" w:cs="Times New Roman"/>
                <w:bCs/>
                <w:i/>
                <w:sz w:val="24"/>
                <w:szCs w:val="24"/>
              </w:rPr>
              <w:t xml:space="preserve">Maksymalna liczba punktów w ramach tego kryterium 5 </w:t>
            </w:r>
            <w:proofErr w:type="spellStart"/>
            <w:r w:rsidRPr="00624424">
              <w:rPr>
                <w:rFonts w:ascii="Times New Roman" w:hAnsi="Times New Roman" w:cs="Times New Roman"/>
                <w:bCs/>
                <w:i/>
                <w:sz w:val="24"/>
                <w:szCs w:val="24"/>
              </w:rPr>
              <w:t>pkt</w:t>
            </w:r>
            <w:proofErr w:type="spellEnd"/>
          </w:p>
        </w:tc>
        <w:tc>
          <w:tcPr>
            <w:tcW w:w="264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Wniosek o przyznanie pomocy w ramach LSR  </w:t>
            </w:r>
          </w:p>
        </w:tc>
      </w:tr>
      <w:tr w:rsidR="00624424" w:rsidRPr="00624424" w:rsidTr="00E15651">
        <w:tc>
          <w:tcPr>
            <w:tcW w:w="2431" w:type="dxa"/>
            <w:shd w:val="clear" w:color="auto" w:fill="EEECE1" w:themeFill="background2"/>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lastRenderedPageBreak/>
              <w:t>VIII. INNOWACYJNOŚĆ PROJEKTU</w:t>
            </w:r>
          </w:p>
        </w:tc>
        <w:tc>
          <w:tcPr>
            <w:tcW w:w="5190"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operacje innowacyjne, oryginalne w skali lokalnej – tj. wykorzystujące nie praktykowane dotąd lokalnie rozwiązania technologiczne lub rozwiązania wykorzystujące lokalne zasoby, </w:t>
            </w:r>
            <w:proofErr w:type="spellStart"/>
            <w:r w:rsidRPr="00624424">
              <w:rPr>
                <w:rFonts w:ascii="Times New Roman" w:hAnsi="Times New Roman" w:cs="Times New Roman"/>
                <w:sz w:val="24"/>
                <w:szCs w:val="24"/>
              </w:rPr>
              <w:t>lokalny</w:t>
            </w:r>
            <w:proofErr w:type="spellEnd"/>
            <w:r w:rsidRPr="00624424">
              <w:rPr>
                <w:rFonts w:ascii="Times New Roman" w:hAnsi="Times New Roman" w:cs="Times New Roman"/>
                <w:sz w:val="24"/>
                <w:szCs w:val="24"/>
              </w:rPr>
              <w:t xml:space="preserve"> potencjał. Innowacja  ma miejsce wtedy, gdy nowy lub zmodernizowany wyrób zostaje wprowadzony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rynek albo gdy nowy lub zmieniony proces zostaje zastosowany w produkcji.</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Innowacje będą dotyczyć rozwoju nowych metod, instrumentów i podejść jak również poprawy istniejących metod. Mogą to być również innowacje społeczne:  Innowacje społeczne to nowe rozwiązania (produkty, usługi, modele, rynki, procesy etc.), które zaspokajają potrzeby społeczne efektywniej</w:t>
            </w:r>
          </w:p>
        </w:tc>
        <w:tc>
          <w:tcPr>
            <w:tcW w:w="3969" w:type="dxa"/>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ma charakter innowacyjny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poziomie powiatu </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3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projekt zawiera elementy innowacyjne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poziomie </w:t>
            </w:r>
            <w:proofErr w:type="spellStart"/>
            <w:r w:rsidRPr="00624424">
              <w:rPr>
                <w:rFonts w:ascii="Times New Roman" w:hAnsi="Times New Roman" w:cs="Times New Roman"/>
                <w:sz w:val="24"/>
                <w:szCs w:val="24"/>
              </w:rPr>
              <w:t>gminy</w:t>
            </w:r>
            <w:proofErr w:type="spellEnd"/>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innowacyjność operacji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poziomie mniejszym niż obszar </w:t>
            </w:r>
            <w:proofErr w:type="spellStart"/>
            <w:r w:rsidRPr="00624424">
              <w:rPr>
                <w:rFonts w:ascii="Times New Roman" w:hAnsi="Times New Roman" w:cs="Times New Roman"/>
                <w:sz w:val="24"/>
                <w:szCs w:val="24"/>
              </w:rPr>
              <w:t>gminy</w:t>
            </w:r>
            <w:proofErr w:type="spellEnd"/>
            <w:r w:rsidRPr="00624424">
              <w:rPr>
                <w:rFonts w:ascii="Times New Roman" w:hAnsi="Times New Roman" w:cs="Times New Roman"/>
                <w:sz w:val="24"/>
                <w:szCs w:val="24"/>
              </w:rPr>
              <w:t xml:space="preserve"> członkowskiej LGD miejsca realizacji operacji lub brak innowacyjności.  </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w:t>
            </w:r>
            <w:proofErr w:type="spellStart"/>
            <w:r w:rsidRPr="00624424">
              <w:rPr>
                <w:rFonts w:ascii="Times New Roman" w:hAnsi="Times New Roman" w:cs="Times New Roman"/>
                <w:i/>
                <w:sz w:val="24"/>
                <w:szCs w:val="24"/>
              </w:rPr>
              <w:t>pkt</w:t>
            </w:r>
            <w:proofErr w:type="spellEnd"/>
          </w:p>
        </w:tc>
        <w:tc>
          <w:tcPr>
            <w:tcW w:w="2693" w:type="dxa"/>
            <w:gridSpan w:val="3"/>
            <w:tcMar>
              <w:top w:w="0" w:type="dxa"/>
              <w:left w:w="108" w:type="dxa"/>
              <w:bottom w:w="0" w:type="dxa"/>
              <w:right w:w="108" w:type="dxa"/>
            </w:tcMar>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Wniosek o przyznanie pomocy w ramach LSR</w:t>
            </w:r>
          </w:p>
        </w:tc>
      </w:tr>
      <w:tr w:rsidR="00624424" w:rsidRPr="00624424" w:rsidTr="00E15651">
        <w:tc>
          <w:tcPr>
            <w:tcW w:w="2431" w:type="dxa"/>
            <w:shd w:val="clear" w:color="auto" w:fill="EEECE1" w:themeFill="background2"/>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b/>
                <w:bCs/>
                <w:sz w:val="24"/>
                <w:szCs w:val="24"/>
              </w:rPr>
            </w:pPr>
            <w:r w:rsidRPr="00624424">
              <w:rPr>
                <w:rFonts w:ascii="Times New Roman" w:hAnsi="Times New Roman" w:cs="Times New Roman"/>
                <w:b/>
                <w:bCs/>
                <w:sz w:val="24"/>
                <w:szCs w:val="24"/>
              </w:rPr>
              <w:t>IX. DORADZTWO LGD</w:t>
            </w:r>
          </w:p>
        </w:tc>
        <w:tc>
          <w:tcPr>
            <w:tcW w:w="5190"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Preferuje się wnioskodawców korzystających w wsparcia doradczego oferowanego przez </w:t>
            </w:r>
            <w:proofErr w:type="spellStart"/>
            <w:r w:rsidRPr="00624424">
              <w:rPr>
                <w:rFonts w:ascii="Times New Roman" w:hAnsi="Times New Roman" w:cs="Times New Roman"/>
                <w:sz w:val="24"/>
                <w:szCs w:val="24"/>
              </w:rPr>
              <w:t>biuro</w:t>
            </w:r>
            <w:proofErr w:type="spellEnd"/>
            <w:r w:rsidRPr="00624424">
              <w:rPr>
                <w:rFonts w:ascii="Times New Roman" w:hAnsi="Times New Roman" w:cs="Times New Roman"/>
                <w:sz w:val="24"/>
                <w:szCs w:val="24"/>
              </w:rPr>
              <w:t xml:space="preserve"> LGD. Zakłada się, że doradztwo zapewni opracowania wniosków przemyślanych i przygotowanych i ograniczy ryzyko negatywnej oceny wniosku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etapie wyboru operacji przez LGD lub SW.   </w:t>
            </w:r>
          </w:p>
        </w:tc>
        <w:tc>
          <w:tcPr>
            <w:tcW w:w="3969" w:type="dxa"/>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5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wnioskodawca przynajmniej dwukrotnie skorzystał ze wsparcia szkoleniowo-doradczego zorganizowanego przez Biuro LGD  (szkolenie organizowane przez LGD lub /i  doradztwo w biurze)</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3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wnioskodawca jednokrotnie korzystał z doradztwa biura LGD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etapie wnioskowania</w:t>
            </w:r>
          </w:p>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 xml:space="preserve">0 </w:t>
            </w:r>
            <w:proofErr w:type="spellStart"/>
            <w:r w:rsidRPr="00624424">
              <w:rPr>
                <w:rFonts w:ascii="Times New Roman" w:hAnsi="Times New Roman" w:cs="Times New Roman"/>
                <w:sz w:val="24"/>
                <w:szCs w:val="24"/>
              </w:rPr>
              <w:t>pkt</w:t>
            </w:r>
            <w:proofErr w:type="spellEnd"/>
            <w:r w:rsidRPr="00624424">
              <w:rPr>
                <w:rFonts w:ascii="Times New Roman" w:hAnsi="Times New Roman" w:cs="Times New Roman"/>
                <w:sz w:val="24"/>
                <w:szCs w:val="24"/>
              </w:rPr>
              <w:t xml:space="preserve"> - wnioskodawca nie korzystał z doradztwa biura LGD </w:t>
            </w:r>
            <w:proofErr w:type="spellStart"/>
            <w:r w:rsidRPr="00624424">
              <w:rPr>
                <w:rFonts w:ascii="Times New Roman" w:hAnsi="Times New Roman" w:cs="Times New Roman"/>
                <w:sz w:val="24"/>
                <w:szCs w:val="24"/>
              </w:rPr>
              <w:t>na</w:t>
            </w:r>
            <w:proofErr w:type="spellEnd"/>
            <w:r w:rsidRPr="00624424">
              <w:rPr>
                <w:rFonts w:ascii="Times New Roman" w:hAnsi="Times New Roman" w:cs="Times New Roman"/>
                <w:sz w:val="24"/>
                <w:szCs w:val="24"/>
              </w:rPr>
              <w:t xml:space="preserve"> etapie wnioskowania</w:t>
            </w:r>
          </w:p>
          <w:p w:rsidR="00624424" w:rsidRPr="00624424" w:rsidRDefault="00624424" w:rsidP="00E15651">
            <w:pPr>
              <w:spacing w:after="0" w:line="240" w:lineRule="auto"/>
              <w:rPr>
                <w:rFonts w:ascii="Times New Roman" w:hAnsi="Times New Roman" w:cs="Times New Roman"/>
                <w:i/>
                <w:sz w:val="24"/>
                <w:szCs w:val="24"/>
              </w:rPr>
            </w:pPr>
            <w:r w:rsidRPr="00624424">
              <w:rPr>
                <w:rFonts w:ascii="Times New Roman" w:hAnsi="Times New Roman" w:cs="Times New Roman"/>
                <w:i/>
                <w:sz w:val="24"/>
                <w:szCs w:val="24"/>
              </w:rPr>
              <w:t xml:space="preserve">Maksymalna liczba punktów w ramach tego kryterium 5 </w:t>
            </w:r>
            <w:proofErr w:type="spellStart"/>
            <w:r w:rsidRPr="00624424">
              <w:rPr>
                <w:rFonts w:ascii="Times New Roman" w:hAnsi="Times New Roman" w:cs="Times New Roman"/>
                <w:i/>
                <w:sz w:val="24"/>
                <w:szCs w:val="24"/>
              </w:rPr>
              <w:t>pkt</w:t>
            </w:r>
            <w:proofErr w:type="spellEnd"/>
          </w:p>
        </w:tc>
        <w:tc>
          <w:tcPr>
            <w:tcW w:w="2693" w:type="dxa"/>
            <w:gridSpan w:val="3"/>
            <w:tcMar>
              <w:top w:w="0" w:type="dxa"/>
              <w:left w:w="108" w:type="dxa"/>
              <w:bottom w:w="0" w:type="dxa"/>
              <w:right w:w="108" w:type="dxa"/>
            </w:tcMar>
            <w:hideMark/>
          </w:tcPr>
          <w:p w:rsidR="00624424" w:rsidRPr="00624424" w:rsidRDefault="00624424" w:rsidP="00E15651">
            <w:pPr>
              <w:spacing w:after="0" w:line="240" w:lineRule="auto"/>
              <w:rPr>
                <w:rFonts w:ascii="Times New Roman" w:hAnsi="Times New Roman" w:cs="Times New Roman"/>
                <w:sz w:val="24"/>
                <w:szCs w:val="24"/>
              </w:rPr>
            </w:pPr>
            <w:r w:rsidRPr="00624424">
              <w:rPr>
                <w:rFonts w:ascii="Times New Roman" w:hAnsi="Times New Roman" w:cs="Times New Roman"/>
                <w:sz w:val="24"/>
                <w:szCs w:val="24"/>
              </w:rPr>
              <w:t>Dokumentacja LGD (zaświadczenie o doradztwie)</w:t>
            </w:r>
          </w:p>
        </w:tc>
      </w:tr>
    </w:tbl>
    <w:p w:rsidR="00624424" w:rsidRDefault="00624424"/>
    <w:sectPr w:rsidR="00624424" w:rsidSect="0062442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compat/>
  <w:rsids>
    <w:rsidRoot w:val="00624424"/>
    <w:rsid w:val="00624424"/>
    <w:rsid w:val="007420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4424"/>
    <w:pPr>
      <w:spacing w:after="200" w:line="276" w:lineRule="auto"/>
    </w:pPr>
    <w:rPr>
      <w:rFonts w:asciiTheme="minorHAnsi" w:hAnsiTheme="minorHAnsi"/>
      <w:sz w:val="22"/>
    </w:rPr>
  </w:style>
  <w:style w:type="paragraph" w:styleId="Nagwek2">
    <w:name w:val="heading 2"/>
    <w:basedOn w:val="Normalny"/>
    <w:next w:val="Normalny"/>
    <w:link w:val="Nagwek2Znak"/>
    <w:uiPriority w:val="9"/>
    <w:unhideWhenUsed/>
    <w:qFormat/>
    <w:rsid w:val="00624424"/>
    <w:pPr>
      <w:keepNext/>
      <w:keepLines/>
      <w:spacing w:before="200" w:after="0"/>
      <w:jc w:val="right"/>
      <w:outlineLvl w:val="1"/>
    </w:pPr>
    <w:rPr>
      <w:rFonts w:ascii="Times New Roman" w:eastAsiaTheme="majorEastAsia" w:hAnsi="Times New Roman" w:cs="Times New Roman"/>
      <w:b/>
      <w:bCs/>
      <w:color w:val="4F81BD" w:themeColor="accent1"/>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24424"/>
    <w:rPr>
      <w:rFonts w:ascii="Times New Roman" w:eastAsiaTheme="majorEastAsia" w:hAnsi="Times New Roman" w:cs="Times New Roman"/>
      <w:b/>
      <w:bCs/>
      <w:color w:val="4F81BD" w:themeColor="accent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1217</Words>
  <Characters>7308</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2016-11-09T08:56:00Z</cp:lastPrinted>
  <dcterms:created xsi:type="dcterms:W3CDTF">2016-11-09T08:54:00Z</dcterms:created>
  <dcterms:modified xsi:type="dcterms:W3CDTF">2016-11-09T09:00:00Z</dcterms:modified>
</cp:coreProperties>
</file>